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CACB" w14:textId="77777777" w:rsidR="0083782A" w:rsidRPr="006D07CA" w:rsidRDefault="0083782A" w:rsidP="00845933">
      <w:pPr>
        <w:spacing w:after="0" w:line="240" w:lineRule="auto"/>
        <w:ind w:left="6219"/>
        <w:rPr>
          <w:rFonts w:ascii="Arial" w:hAnsi="Arial" w:cs="Arial"/>
        </w:rPr>
      </w:pPr>
      <w:r w:rsidRPr="006D07CA">
        <w:rPr>
          <w:rFonts w:ascii="Arial" w:hAnsi="Arial" w:cs="Arial"/>
        </w:rPr>
        <w:t>Č. j.: MF-</w:t>
      </w:r>
      <w:r w:rsidR="006D07CA" w:rsidRPr="006D07CA">
        <w:rPr>
          <w:rFonts w:ascii="Arial" w:hAnsi="Arial" w:cs="Arial"/>
        </w:rPr>
        <w:t>7949</w:t>
      </w:r>
      <w:r w:rsidR="00845933" w:rsidRPr="006D07CA">
        <w:rPr>
          <w:rFonts w:ascii="Arial" w:hAnsi="Arial" w:cs="Arial"/>
        </w:rPr>
        <w:t>/202</w:t>
      </w:r>
      <w:r w:rsidR="006D07CA" w:rsidRPr="006D07CA">
        <w:rPr>
          <w:rFonts w:ascii="Arial" w:hAnsi="Arial" w:cs="Arial"/>
        </w:rPr>
        <w:t>4</w:t>
      </w:r>
      <w:r w:rsidR="00845933" w:rsidRPr="006D07CA">
        <w:rPr>
          <w:rFonts w:ascii="Arial" w:hAnsi="Arial" w:cs="Arial"/>
        </w:rPr>
        <w:t>/1904-</w:t>
      </w:r>
      <w:r w:rsidR="006D07CA" w:rsidRPr="006D07CA">
        <w:rPr>
          <w:rFonts w:ascii="Arial" w:hAnsi="Arial" w:cs="Arial"/>
        </w:rPr>
        <w:t>5</w:t>
      </w:r>
      <w:r w:rsidRPr="006D07CA">
        <w:rPr>
          <w:rFonts w:ascii="Arial" w:hAnsi="Arial" w:cs="Arial"/>
        </w:rPr>
        <w:t xml:space="preserve">  PID:  MFCR</w:t>
      </w:r>
      <w:r w:rsidR="006D07CA" w:rsidRPr="006D07CA">
        <w:rPr>
          <w:rFonts w:ascii="Arial" w:hAnsi="Arial" w:cs="Arial"/>
        </w:rPr>
        <w:t>EXDTPD</w:t>
      </w:r>
    </w:p>
    <w:p w14:paraId="060B959B" w14:textId="77777777" w:rsidR="0083782A" w:rsidRPr="006D07CA" w:rsidRDefault="0083782A" w:rsidP="0083782A">
      <w:pPr>
        <w:spacing w:after="0" w:line="240" w:lineRule="auto"/>
        <w:ind w:firstLine="709"/>
        <w:rPr>
          <w:rFonts w:ascii="Arial" w:hAnsi="Arial" w:cs="Arial"/>
        </w:rPr>
      </w:pPr>
      <w:r w:rsidRPr="006D07CA">
        <w:rPr>
          <w:rFonts w:ascii="Arial" w:hAnsi="Arial" w:cs="Arial"/>
        </w:rPr>
        <w:t xml:space="preserve">     </w:t>
      </w:r>
    </w:p>
    <w:p w14:paraId="05771635" w14:textId="77777777" w:rsidR="00CB0CEA" w:rsidRPr="006D07CA" w:rsidRDefault="00CB0CEA" w:rsidP="0083782A">
      <w:pPr>
        <w:spacing w:after="0" w:line="240" w:lineRule="auto"/>
        <w:ind w:firstLine="709"/>
        <w:rPr>
          <w:rFonts w:ascii="Arial" w:hAnsi="Arial" w:cs="Arial"/>
        </w:rPr>
      </w:pPr>
    </w:p>
    <w:p w14:paraId="449B99E3" w14:textId="77777777" w:rsidR="0083782A" w:rsidRPr="006D07CA" w:rsidRDefault="0083782A" w:rsidP="0083782A">
      <w:pPr>
        <w:spacing w:after="0" w:line="240" w:lineRule="auto"/>
        <w:jc w:val="center"/>
        <w:rPr>
          <w:rFonts w:ascii="Arial" w:hAnsi="Arial" w:cs="Arial"/>
          <w:b/>
        </w:rPr>
      </w:pPr>
      <w:r w:rsidRPr="006D07CA">
        <w:rPr>
          <w:rFonts w:ascii="Arial" w:hAnsi="Arial" w:cs="Arial"/>
          <w:b/>
        </w:rPr>
        <w:t>PŘIPOMÍNKY K MATERIÁLU S NÁZVEM:</w:t>
      </w:r>
    </w:p>
    <w:p w14:paraId="206B80DE" w14:textId="77777777" w:rsidR="0083782A" w:rsidRPr="006D07CA" w:rsidRDefault="0083782A" w:rsidP="0083782A">
      <w:pPr>
        <w:spacing w:after="0" w:line="240" w:lineRule="auto"/>
        <w:jc w:val="center"/>
        <w:rPr>
          <w:rFonts w:ascii="Arial" w:hAnsi="Arial" w:cs="Arial"/>
        </w:rPr>
      </w:pPr>
    </w:p>
    <w:p w14:paraId="573B9199" w14:textId="77777777" w:rsidR="00FD3E18" w:rsidRPr="006D07CA" w:rsidRDefault="006D07CA" w:rsidP="006D07CA">
      <w:pPr>
        <w:spacing w:line="240" w:lineRule="auto"/>
        <w:jc w:val="center"/>
        <w:rPr>
          <w:rFonts w:ascii="Arial" w:hAnsi="Arial" w:cs="Arial"/>
          <w:b/>
        </w:rPr>
      </w:pPr>
      <w:r w:rsidRPr="006D07CA">
        <w:rPr>
          <w:rFonts w:ascii="Arial" w:hAnsi="Arial" w:cs="Arial"/>
          <w:b/>
        </w:rPr>
        <w:t>Návrh zákona, kterým se mění zákon č. 114/1992 Sb., o ochraně přírody a krajiny, ve znění pozdějších předpisů</w:t>
      </w:r>
    </w:p>
    <w:p w14:paraId="234D8954" w14:textId="77777777" w:rsidR="00CB0CEA" w:rsidRPr="006D07CA" w:rsidRDefault="00CB0CEA" w:rsidP="00FD3E18">
      <w:pPr>
        <w:spacing w:line="240" w:lineRule="auto"/>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6906"/>
        <w:gridCol w:w="324"/>
      </w:tblGrid>
      <w:tr w:rsidR="006D07CA" w:rsidRPr="006D07CA" w14:paraId="26D44A49" w14:textId="77777777" w:rsidTr="0083782A">
        <w:tc>
          <w:tcPr>
            <w:tcW w:w="1010" w:type="pct"/>
            <w:tcBorders>
              <w:top w:val="single" w:sz="4" w:space="0" w:color="auto"/>
              <w:left w:val="single" w:sz="4" w:space="0" w:color="auto"/>
              <w:bottom w:val="single" w:sz="8" w:space="0" w:color="auto"/>
              <w:right w:val="single" w:sz="4" w:space="0" w:color="auto"/>
            </w:tcBorders>
            <w:hideMark/>
          </w:tcPr>
          <w:p w14:paraId="709A20D2" w14:textId="77777777" w:rsidR="0083782A" w:rsidRPr="006D07CA" w:rsidRDefault="0083782A">
            <w:pPr>
              <w:rPr>
                <w:rFonts w:ascii="Arial" w:hAnsi="Arial" w:cs="Arial"/>
                <w:b/>
                <w:bCs/>
              </w:rPr>
            </w:pPr>
            <w:r w:rsidRPr="006D07CA">
              <w:rPr>
                <w:rFonts w:ascii="Arial" w:hAnsi="Arial" w:cs="Arial"/>
                <w:b/>
                <w:bCs/>
              </w:rPr>
              <w:t>Resort</w:t>
            </w:r>
          </w:p>
        </w:tc>
        <w:tc>
          <w:tcPr>
            <w:tcW w:w="3990" w:type="pct"/>
            <w:gridSpan w:val="2"/>
            <w:tcBorders>
              <w:top w:val="single" w:sz="4" w:space="0" w:color="auto"/>
              <w:left w:val="single" w:sz="4" w:space="0" w:color="auto"/>
              <w:bottom w:val="single" w:sz="8" w:space="0" w:color="auto"/>
              <w:right w:val="single" w:sz="4" w:space="0" w:color="auto"/>
            </w:tcBorders>
            <w:hideMark/>
          </w:tcPr>
          <w:p w14:paraId="63EA192A" w14:textId="77777777" w:rsidR="0083782A" w:rsidRPr="006D07CA" w:rsidRDefault="0083782A">
            <w:pPr>
              <w:rPr>
                <w:rFonts w:ascii="Arial" w:hAnsi="Arial" w:cs="Arial"/>
                <w:b/>
                <w:bCs/>
              </w:rPr>
            </w:pPr>
            <w:r w:rsidRPr="006D07CA">
              <w:rPr>
                <w:rFonts w:ascii="Arial" w:hAnsi="Arial" w:cs="Arial"/>
                <w:b/>
                <w:bCs/>
              </w:rPr>
              <w:t>Připomínky</w:t>
            </w:r>
          </w:p>
        </w:tc>
      </w:tr>
      <w:tr w:rsidR="006D07CA" w:rsidRPr="006D07CA" w14:paraId="0F281E43" w14:textId="77777777" w:rsidTr="0083782A">
        <w:trPr>
          <w:trHeight w:val="317"/>
        </w:trPr>
        <w:tc>
          <w:tcPr>
            <w:tcW w:w="1010" w:type="pct"/>
            <w:vMerge w:val="restart"/>
            <w:tcBorders>
              <w:top w:val="single" w:sz="8" w:space="0" w:color="auto"/>
              <w:left w:val="single" w:sz="8" w:space="0" w:color="auto"/>
              <w:bottom w:val="single" w:sz="8" w:space="0" w:color="auto"/>
              <w:right w:val="single" w:sz="4" w:space="0" w:color="auto"/>
            </w:tcBorders>
          </w:tcPr>
          <w:p w14:paraId="393286D2" w14:textId="77777777" w:rsidR="0083782A" w:rsidRPr="006D07CA" w:rsidRDefault="0083782A">
            <w:pPr>
              <w:jc w:val="both"/>
              <w:rPr>
                <w:rFonts w:ascii="Arial" w:hAnsi="Arial" w:cs="Arial"/>
              </w:rPr>
            </w:pPr>
            <w:r w:rsidRPr="006D07CA">
              <w:rPr>
                <w:rFonts w:ascii="Arial" w:hAnsi="Arial" w:cs="Arial"/>
              </w:rPr>
              <w:t>Ministerstvo financí</w:t>
            </w:r>
          </w:p>
          <w:p w14:paraId="626AF7E2" w14:textId="77777777" w:rsidR="0083782A" w:rsidRPr="006D07CA" w:rsidRDefault="0083782A">
            <w:pPr>
              <w:jc w:val="both"/>
              <w:rPr>
                <w:rFonts w:ascii="Arial" w:hAnsi="Arial" w:cs="Arial"/>
              </w:rPr>
            </w:pPr>
          </w:p>
          <w:p w14:paraId="3CB491E3" w14:textId="77777777" w:rsidR="0083782A" w:rsidRPr="006D07CA" w:rsidRDefault="0083782A">
            <w:pPr>
              <w:jc w:val="both"/>
              <w:rPr>
                <w:rFonts w:ascii="Arial" w:hAnsi="Arial" w:cs="Arial"/>
              </w:rPr>
            </w:pPr>
          </w:p>
          <w:p w14:paraId="764D83CF" w14:textId="77777777" w:rsidR="0083782A" w:rsidRPr="006D07CA" w:rsidRDefault="0083782A">
            <w:pPr>
              <w:jc w:val="both"/>
              <w:rPr>
                <w:rFonts w:ascii="Arial" w:hAnsi="Arial" w:cs="Arial"/>
              </w:rPr>
            </w:pPr>
          </w:p>
          <w:p w14:paraId="16C68DF1" w14:textId="77777777" w:rsidR="0083782A" w:rsidRPr="006D07CA" w:rsidRDefault="0083782A">
            <w:pPr>
              <w:rPr>
                <w:rFonts w:ascii="Arial" w:hAnsi="Arial" w:cs="Arial"/>
              </w:rPr>
            </w:pPr>
          </w:p>
        </w:tc>
        <w:tc>
          <w:tcPr>
            <w:tcW w:w="3811" w:type="pct"/>
            <w:tcBorders>
              <w:top w:val="single" w:sz="8" w:space="0" w:color="auto"/>
              <w:left w:val="single" w:sz="4" w:space="0" w:color="auto"/>
              <w:bottom w:val="single" w:sz="4" w:space="0" w:color="auto"/>
              <w:right w:val="single" w:sz="4" w:space="0" w:color="F3F3F3"/>
            </w:tcBorders>
          </w:tcPr>
          <w:p w14:paraId="5A402633" w14:textId="77777777" w:rsidR="00FD3E18" w:rsidRPr="006D07CA" w:rsidRDefault="0083782A" w:rsidP="00DD440E">
            <w:pPr>
              <w:widowControl w:val="0"/>
              <w:autoSpaceDE w:val="0"/>
              <w:autoSpaceDN w:val="0"/>
              <w:adjustRightInd w:val="0"/>
              <w:jc w:val="both"/>
              <w:rPr>
                <w:rFonts w:ascii="Arial" w:hAnsi="Arial" w:cs="Arial"/>
              </w:rPr>
            </w:pPr>
            <w:r w:rsidRPr="006D07CA">
              <w:rPr>
                <w:rFonts w:ascii="Arial" w:hAnsi="Arial" w:cs="Arial"/>
                <w:b/>
              </w:rPr>
              <w:t>Úvod</w:t>
            </w:r>
          </w:p>
        </w:tc>
        <w:tc>
          <w:tcPr>
            <w:tcW w:w="179" w:type="pct"/>
            <w:tcBorders>
              <w:top w:val="single" w:sz="8" w:space="0" w:color="auto"/>
              <w:left w:val="single" w:sz="4" w:space="0" w:color="F3F3F3"/>
              <w:bottom w:val="single" w:sz="4" w:space="0" w:color="auto"/>
              <w:right w:val="single" w:sz="8" w:space="0" w:color="auto"/>
            </w:tcBorders>
          </w:tcPr>
          <w:p w14:paraId="6A064F96" w14:textId="77777777" w:rsidR="0083782A" w:rsidRPr="006D07CA" w:rsidRDefault="0083782A">
            <w:pPr>
              <w:widowControl w:val="0"/>
              <w:autoSpaceDE w:val="0"/>
              <w:autoSpaceDN w:val="0"/>
              <w:adjustRightInd w:val="0"/>
              <w:jc w:val="both"/>
              <w:rPr>
                <w:rFonts w:ascii="Arial" w:hAnsi="Arial" w:cs="Arial"/>
                <w:b/>
              </w:rPr>
            </w:pPr>
          </w:p>
        </w:tc>
      </w:tr>
      <w:tr w:rsidR="006D07CA" w:rsidRPr="006D07CA" w14:paraId="32FEC705" w14:textId="77777777" w:rsidTr="0083782A">
        <w:trPr>
          <w:trHeight w:val="892"/>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11DB1FB" w14:textId="77777777" w:rsidR="00845933" w:rsidRPr="006D07CA" w:rsidRDefault="00845933" w:rsidP="00845933">
            <w:pPr>
              <w:spacing w:after="0" w:line="240" w:lineRule="auto"/>
              <w:rPr>
                <w:rFonts w:ascii="Arial" w:hAnsi="Arial" w:cs="Arial"/>
              </w:rPr>
            </w:pPr>
          </w:p>
        </w:tc>
        <w:tc>
          <w:tcPr>
            <w:tcW w:w="3811" w:type="pct"/>
            <w:tcBorders>
              <w:top w:val="single" w:sz="4" w:space="0" w:color="auto"/>
              <w:left w:val="single" w:sz="4" w:space="0" w:color="auto"/>
              <w:bottom w:val="single" w:sz="4" w:space="0" w:color="auto"/>
              <w:right w:val="single" w:sz="4" w:space="0" w:color="F3F3F3"/>
            </w:tcBorders>
          </w:tcPr>
          <w:p w14:paraId="3B41A228" w14:textId="77777777" w:rsidR="00845933" w:rsidRPr="006D07CA" w:rsidRDefault="00845933" w:rsidP="00A63676">
            <w:pPr>
              <w:widowControl w:val="0"/>
              <w:autoSpaceDE w:val="0"/>
              <w:autoSpaceDN w:val="0"/>
              <w:adjustRightInd w:val="0"/>
              <w:spacing w:line="240" w:lineRule="auto"/>
              <w:jc w:val="both"/>
              <w:rPr>
                <w:rFonts w:ascii="Arial" w:hAnsi="Arial" w:cs="Arial"/>
                <w:b/>
              </w:rPr>
            </w:pPr>
            <w:r w:rsidRPr="006D07CA">
              <w:rPr>
                <w:rFonts w:ascii="Arial" w:hAnsi="Arial" w:cs="Arial"/>
                <w:b/>
              </w:rPr>
              <w:t>Zásadní připomínka:</w:t>
            </w:r>
          </w:p>
          <w:p w14:paraId="1456ED02"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 xml:space="preserve">Návrh zákona generuje značné finanční a personální nároky na zajištění správy NP Křivoklátsko, přičemž převážná část těchto nákladů má být pokryta příspěvkem ze státního rozpočtu. </w:t>
            </w:r>
            <w:r w:rsidRPr="006D07CA">
              <w:rPr>
                <w:rFonts w:ascii="Arial" w:hAnsi="Arial" w:cs="Arial"/>
              </w:rPr>
              <w:br/>
              <w:t xml:space="preserve">V současnosti je na správu CHKO vyčleněno 6 pracovních úvazků (mzdové náklady 5,7 mil. Kč ročně), v případě správy NP je počítáno se 112 úvazky (cca 89 mil. Kč ročně). Závěrečnou zprávu RIA nepovažujeme za dostatečně zpracovanou, neboť výběr navržené varianty nevychází z relevantního vyhodnocení nákladů a přínosů obou variant, ale z prostého konstatování potřeby zachování a obnovy přírodních lesních ekosystémů. </w:t>
            </w:r>
            <w:r w:rsidRPr="006D07CA">
              <w:rPr>
                <w:rFonts w:ascii="Arial" w:hAnsi="Arial" w:cs="Arial"/>
              </w:rPr>
              <w:br/>
              <w:t>V materiálu není dle našeho názoru jednoznačně popsáno, v čem je současná ochrana ve formě CHKO a zvláště chráněných území nedostačující. Předkládací zpráva má obsahovat nejen dopady na státní rozpočet, ale také zdroj jejich krytí. V kontextu snahy vlády o konsolidaci veřejných výdajů by ministr životního prostředí měl členům vlády předložit také návrh na adekvátní omezení jiných výdajů státního rozpočtu, které již nepovažuje za prioritní.</w:t>
            </w:r>
          </w:p>
          <w:p w14:paraId="65CF2411"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 xml:space="preserve">Zásadně nesouhlasíme s navýšením počtu míst a objemem peněžních prostředků na platy. Personální zajištění NP Křivoklátsko požadujeme zajistit prostřednictvím neobsazených míst, která za rok 2023 v kapitole 315 – MŽP činí cca 140míst, resp. delimitací míst v rámci celého resortu včetně peněžních prostředků na platy. Požadujeme proto doplnit všechny relevantní části materiálu (Závěrečnou zprávu RIA, Důvodovou zprávu, Předkládací zprávu) o explicitní konstatování, že veškeré navržené změny budou zabezpečeny výhradně v rámci </w:t>
            </w:r>
            <w:r w:rsidRPr="006D07CA">
              <w:rPr>
                <w:rFonts w:ascii="Arial" w:hAnsi="Arial" w:cs="Arial"/>
              </w:rPr>
              <w:br/>
              <w:t>v současnosti stanovených limitů v oblasti počtu míst a objemu prostředků na platy v kapitole MŽP, tj. bez nároku na jejich jakékoliv navýšení. Současně upozorňujeme, že v návaznosti na předpokládané nájemné ve výši 2,2 – 4,4 mil. Kč/rok se předpokládané náklady na novou budovu ve výši 150,7 mil. Kč jeví ekonomicky značně nevýhodně.</w:t>
            </w:r>
          </w:p>
          <w:p w14:paraId="56A77ECF" w14:textId="77777777" w:rsidR="00743409"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 xml:space="preserve">K návrhu zákona, čl. II bodu 4: Správu NP Křivoklátsko je třeba zřídit jako organizační složku státu. Totéž platí i pro ostatní Správy národních parků. Jde o správní úřady, proto mají mít formu organizační složky státu. Navíc u správních úřadů je nutné jejich kompetence stanovit zákonem a zřízeny by měly být též </w:t>
            </w:r>
            <w:r w:rsidRPr="006D07CA">
              <w:rPr>
                <w:rFonts w:ascii="Arial" w:hAnsi="Arial" w:cs="Arial"/>
              </w:rPr>
              <w:lastRenderedPageBreak/>
              <w:t xml:space="preserve">zákonem, nikoliv zřizovací listinou. Není úplně jasné, proč má dojít ke zřízení Správy NP Křivoklátsko ke dni 1. ledna 2026, když zákon má nabýt účinnosti k 1. lednu 2027 (s výjimkou některých ustanovení). Tento postup je třeba podrobněji vysvětlit </w:t>
            </w:r>
            <w:r w:rsidRPr="006D07CA">
              <w:rPr>
                <w:rFonts w:ascii="Arial" w:hAnsi="Arial" w:cs="Arial"/>
              </w:rPr>
              <w:br/>
              <w:t>v důvodové zprávě.</w:t>
            </w:r>
            <w:r w:rsidR="00DD440E" w:rsidRPr="006D07CA">
              <w:rPr>
                <w:rFonts w:ascii="Arial" w:hAnsi="Arial" w:cs="Arial"/>
              </w:rPr>
              <w:t xml:space="preserve"> </w:t>
            </w:r>
          </w:p>
        </w:tc>
        <w:tc>
          <w:tcPr>
            <w:tcW w:w="179" w:type="pct"/>
            <w:tcBorders>
              <w:top w:val="single" w:sz="4" w:space="0" w:color="auto"/>
              <w:left w:val="single" w:sz="4" w:space="0" w:color="F3F3F3"/>
              <w:bottom w:val="single" w:sz="4" w:space="0" w:color="auto"/>
              <w:right w:val="single" w:sz="8" w:space="0" w:color="auto"/>
            </w:tcBorders>
          </w:tcPr>
          <w:p w14:paraId="72B8B4D8" w14:textId="77777777" w:rsidR="00845933" w:rsidRPr="006D07CA" w:rsidRDefault="00845933" w:rsidP="00845933">
            <w:pPr>
              <w:widowControl w:val="0"/>
              <w:autoSpaceDE w:val="0"/>
              <w:autoSpaceDN w:val="0"/>
              <w:adjustRightInd w:val="0"/>
              <w:jc w:val="both"/>
              <w:rPr>
                <w:rFonts w:ascii="Arial" w:hAnsi="Arial" w:cs="Arial"/>
                <w:b/>
              </w:rPr>
            </w:pPr>
          </w:p>
        </w:tc>
      </w:tr>
      <w:tr w:rsidR="006D07CA" w:rsidRPr="006D07CA" w14:paraId="29885E37" w14:textId="77777777" w:rsidTr="0083782A">
        <w:trPr>
          <w:trHeight w:val="975"/>
        </w:trPr>
        <w:tc>
          <w:tcPr>
            <w:tcW w:w="0" w:type="auto"/>
            <w:vMerge/>
            <w:tcBorders>
              <w:top w:val="single" w:sz="8" w:space="0" w:color="auto"/>
              <w:left w:val="single" w:sz="8" w:space="0" w:color="auto"/>
              <w:bottom w:val="single" w:sz="8" w:space="0" w:color="auto"/>
              <w:right w:val="single" w:sz="4" w:space="0" w:color="auto"/>
            </w:tcBorders>
            <w:vAlign w:val="center"/>
            <w:hideMark/>
          </w:tcPr>
          <w:p w14:paraId="7325CABA" w14:textId="77777777" w:rsidR="00845933" w:rsidRPr="006D07CA" w:rsidRDefault="00845933" w:rsidP="00845933">
            <w:pPr>
              <w:spacing w:after="0" w:line="240" w:lineRule="auto"/>
              <w:rPr>
                <w:rFonts w:ascii="Arial" w:hAnsi="Arial" w:cs="Arial"/>
              </w:rPr>
            </w:pPr>
          </w:p>
        </w:tc>
        <w:tc>
          <w:tcPr>
            <w:tcW w:w="3811" w:type="pct"/>
            <w:tcBorders>
              <w:top w:val="single" w:sz="4" w:space="0" w:color="auto"/>
              <w:left w:val="single" w:sz="4" w:space="0" w:color="auto"/>
              <w:bottom w:val="single" w:sz="4" w:space="0" w:color="auto"/>
              <w:right w:val="single" w:sz="4" w:space="0" w:color="F3F3F3"/>
            </w:tcBorders>
          </w:tcPr>
          <w:p w14:paraId="0BDF3F74" w14:textId="77777777" w:rsidR="007273F6" w:rsidRPr="006D07CA" w:rsidRDefault="00845933" w:rsidP="00A63676">
            <w:pPr>
              <w:widowControl w:val="0"/>
              <w:autoSpaceDE w:val="0"/>
              <w:autoSpaceDN w:val="0"/>
              <w:adjustRightInd w:val="0"/>
              <w:spacing w:line="240" w:lineRule="auto"/>
              <w:jc w:val="both"/>
              <w:rPr>
                <w:rFonts w:ascii="Arial" w:hAnsi="Arial" w:cs="Arial"/>
                <w:b/>
              </w:rPr>
            </w:pPr>
            <w:r w:rsidRPr="006D07CA">
              <w:rPr>
                <w:rFonts w:ascii="Arial" w:hAnsi="Arial" w:cs="Arial"/>
                <w:b/>
              </w:rPr>
              <w:t>Připomínka:</w:t>
            </w:r>
          </w:p>
          <w:p w14:paraId="0E91FE9D"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V důvodové zprávě i v závěrečné zprávě RIA předkladatel uvádí, že vznik NP Křivoklátsko může pro obce znamenat snazší dostupnost finančních prostředků fondů Evropské unie, národních programů, popř. dalších dotačních programů. Údajná snazší dostupnost dotačních programů, kromě dvou výzev NPŽP, není ani v náznacích zaznačena (například jestli existují speciální programy pro NP). Doporučujeme informace do materiálu doplnit.</w:t>
            </w:r>
          </w:p>
          <w:p w14:paraId="11E18CBA"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Předkladatel na str. 5 důvodové zprávy uvádí, že bylo podáno 42 námitek, z toho 26 od fyzických a právnických osob a 16 od dotčených obcí. K vypořádání námitek pouze uvádí, že bylo vyhověno všem námitkám fyzických osob. Materiál opomíjí námitky právnických osob a také obcí. Doporučujeme do materiálu doplnit.</w:t>
            </w:r>
          </w:p>
          <w:p w14:paraId="14E07E2F"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K návrhu zákona, čl. I: V bodu 9 považujeme formulaci „Návrh podle odstavce 3 se považuje za dohodnutý.... .“ za nestandardní. Navrhujeme úpravu na „Návrh podle odstavce 3 se považuje za přijatý... .“ . V bodu 10 doporučujeme odstranit slovo „ve“ před slovem „větě“ a slovo „se“ vložit před slovo „slova“. V bodu 13 na konci chybí uvozovky. V bodu 14 doporučujeme vložit slovo „se“ před slova „slova „Šumava a“. V bodu 22 doporučujeme vložit uvozovky nahoře a tečku za slova „odstavce 3.“. V bodu 24 je uvedených 24 odstavců v jednom paragrafu podle našeho názoru příliš. Takové ustanovení je nepřehledné. Dáváme proto ke zvážení rozdělit § 90 na více ustanovení.</w:t>
            </w:r>
          </w:p>
          <w:p w14:paraId="035596E9"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b/>
              </w:rPr>
            </w:pPr>
            <w:r w:rsidRPr="006D07CA">
              <w:rPr>
                <w:rFonts w:ascii="Arial" w:hAnsi="Arial" w:cs="Arial"/>
              </w:rPr>
              <w:t xml:space="preserve">K čl. I bodu 18, § 87 odst. 4: K navrženému ustanovení § 87 odst. 4 doporučujeme doplnit důvodovou zprávu. Ustanovení obsahuje větu ve znění „K odpovědnosti fyzické osoby za tento přestupek se nevyžaduje zavinění.“. Objektivní odpovědnost u přestupků fyzických osob je významným odklonem od úpravy v zákoně </w:t>
            </w:r>
            <w:r w:rsidRPr="006D07CA">
              <w:rPr>
                <w:rFonts w:ascii="Arial" w:hAnsi="Arial" w:cs="Arial"/>
              </w:rPr>
              <w:br/>
              <w:t>č. 250/2016, o odpovědnosti za přestupky a řízení o nich. Odklon od obecné úpravy by měl být náležitě odůvodněn v důvodové zprávě. Důvodová zpráva k tomuto ustanovení však neuvádí konkrétní důvody, proč byla zvolena varianta s objektivní odpovědností fyzické osoby. Vzhledem k tomu považujeme za vhodné doplnit důvodovou zprávu.</w:t>
            </w:r>
          </w:p>
          <w:p w14:paraId="058B2737" w14:textId="77777777" w:rsidR="006D07CA" w:rsidRPr="006D07CA" w:rsidRDefault="006D07CA" w:rsidP="006D07CA">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K příloze č. 5: V Části severovýchodní na straně 9 větě první doporučujeme vložit mezeru před slova „370 m“. Dále upozorňujeme na zkratku „JPRL“, která není nikde v textu zavedena a vyskytuje se na straně 6, 9 a 10 (celkem 7krát). Tuto zkratku nelze použít, neboť v souladu s Čl. 44 odst. 2 Legislativních pravidel vlády se legislativní zkratka nemůže skládat z velkých písmen.</w:t>
            </w:r>
          </w:p>
          <w:p w14:paraId="466C0FCB" w14:textId="77777777" w:rsidR="00CB0CEA" w:rsidRPr="00AD2006" w:rsidRDefault="006D07CA" w:rsidP="00AD2006">
            <w:pPr>
              <w:numPr>
                <w:ilvl w:val="0"/>
                <w:numId w:val="1"/>
              </w:numPr>
              <w:tabs>
                <w:tab w:val="clear" w:pos="780"/>
                <w:tab w:val="num" w:pos="392"/>
              </w:tabs>
              <w:overflowPunct w:val="0"/>
              <w:autoSpaceDE w:val="0"/>
              <w:autoSpaceDN w:val="0"/>
              <w:adjustRightInd w:val="0"/>
              <w:spacing w:before="120" w:after="0" w:line="240" w:lineRule="auto"/>
              <w:ind w:left="392"/>
              <w:jc w:val="both"/>
              <w:textAlignment w:val="baseline"/>
              <w:rPr>
                <w:rFonts w:ascii="Arial" w:hAnsi="Arial" w:cs="Arial"/>
              </w:rPr>
            </w:pPr>
            <w:r w:rsidRPr="006D07CA">
              <w:rPr>
                <w:rFonts w:ascii="Arial" w:hAnsi="Arial" w:cs="Arial"/>
              </w:rPr>
              <w:t xml:space="preserve">Nad rámec návrhu zákona: V § 78 odst. 7 zákona o ochraně přírody a krajiny je uvedeno „…Agentura dále na celém území České republiky poskytuje finanční příspěvky ze státního </w:t>
            </w:r>
            <w:r w:rsidRPr="006D07CA">
              <w:rPr>
                <w:rFonts w:ascii="Arial" w:hAnsi="Arial" w:cs="Arial"/>
              </w:rPr>
              <w:lastRenderedPageBreak/>
              <w:t xml:space="preserve">rozpočtu k zajištění ochrany přírody a krajiny podle § 2 odst. 2 </w:t>
            </w:r>
            <w:r w:rsidRPr="006D07CA">
              <w:rPr>
                <w:rFonts w:ascii="Arial" w:hAnsi="Arial" w:cs="Arial"/>
              </w:rPr>
              <w:br/>
              <w:t>v rozsahu požadavků stanovených Ministerstvem životního prostředí.“. Dáváme na zvážení, zda by v rámci aktuální novely zákona o ochraně přírody a krajiny nemělo MŽP vyřešit problém s pojmem „finanční příspěvky“ ve vztahu k poskytování dotací, neboť podle stávajícího znění uvedeného ustanovení je případné poskytování dotace ze strany AOPK v rozporu s rozpočtovými pravidly.</w:t>
            </w:r>
          </w:p>
        </w:tc>
        <w:tc>
          <w:tcPr>
            <w:tcW w:w="179" w:type="pct"/>
            <w:tcBorders>
              <w:top w:val="single" w:sz="4" w:space="0" w:color="auto"/>
              <w:left w:val="single" w:sz="4" w:space="0" w:color="F3F3F3"/>
              <w:bottom w:val="single" w:sz="4" w:space="0" w:color="auto"/>
              <w:right w:val="single" w:sz="8" w:space="0" w:color="auto"/>
            </w:tcBorders>
          </w:tcPr>
          <w:p w14:paraId="3AA6BC08" w14:textId="77777777" w:rsidR="00845933" w:rsidRPr="006D07CA" w:rsidRDefault="00845933" w:rsidP="00845933">
            <w:pPr>
              <w:widowControl w:val="0"/>
              <w:autoSpaceDE w:val="0"/>
              <w:autoSpaceDN w:val="0"/>
              <w:adjustRightInd w:val="0"/>
              <w:jc w:val="both"/>
              <w:rPr>
                <w:rFonts w:ascii="Arial" w:hAnsi="Arial" w:cs="Arial"/>
                <w:b/>
              </w:rPr>
            </w:pPr>
          </w:p>
        </w:tc>
      </w:tr>
      <w:tr w:rsidR="00727C7B" w:rsidRPr="006D07CA" w14:paraId="444D29A7" w14:textId="77777777" w:rsidTr="0083782A">
        <w:trPr>
          <w:trHeight w:val="317"/>
        </w:trPr>
        <w:tc>
          <w:tcPr>
            <w:tcW w:w="0" w:type="auto"/>
            <w:vMerge/>
            <w:tcBorders>
              <w:top w:val="single" w:sz="8" w:space="0" w:color="auto"/>
              <w:left w:val="single" w:sz="8" w:space="0" w:color="auto"/>
              <w:bottom w:val="single" w:sz="8" w:space="0" w:color="auto"/>
              <w:right w:val="single" w:sz="4" w:space="0" w:color="auto"/>
            </w:tcBorders>
            <w:vAlign w:val="center"/>
            <w:hideMark/>
          </w:tcPr>
          <w:p w14:paraId="6F933F9D" w14:textId="77777777" w:rsidR="0083782A" w:rsidRPr="006D07CA" w:rsidRDefault="0083782A">
            <w:pPr>
              <w:spacing w:after="0" w:line="240" w:lineRule="auto"/>
              <w:rPr>
                <w:rFonts w:ascii="Arial" w:hAnsi="Arial" w:cs="Arial"/>
              </w:rPr>
            </w:pPr>
          </w:p>
        </w:tc>
        <w:tc>
          <w:tcPr>
            <w:tcW w:w="3811" w:type="pct"/>
            <w:tcBorders>
              <w:top w:val="single" w:sz="4" w:space="0" w:color="auto"/>
              <w:left w:val="single" w:sz="4" w:space="0" w:color="auto"/>
              <w:bottom w:val="single" w:sz="8" w:space="0" w:color="auto"/>
              <w:right w:val="single" w:sz="4" w:space="0" w:color="F3F3F3"/>
            </w:tcBorders>
            <w:hideMark/>
          </w:tcPr>
          <w:p w14:paraId="7EFC6FDB" w14:textId="77777777" w:rsidR="0083782A" w:rsidRPr="006D07CA" w:rsidRDefault="0083782A">
            <w:pPr>
              <w:widowControl w:val="0"/>
              <w:autoSpaceDE w:val="0"/>
              <w:autoSpaceDN w:val="0"/>
              <w:adjustRightInd w:val="0"/>
              <w:spacing w:after="0" w:line="240" w:lineRule="auto"/>
              <w:jc w:val="both"/>
              <w:rPr>
                <w:rFonts w:ascii="Arial" w:hAnsi="Arial" w:cs="Arial"/>
                <w:b/>
              </w:rPr>
            </w:pPr>
            <w:r w:rsidRPr="006D07CA">
              <w:rPr>
                <w:rFonts w:ascii="Arial" w:hAnsi="Arial" w:cs="Arial"/>
                <w:b/>
              </w:rPr>
              <w:t>Závěr</w:t>
            </w:r>
          </w:p>
          <w:p w14:paraId="355C0E49" w14:textId="77777777" w:rsidR="00743409" w:rsidRPr="006D07CA" w:rsidRDefault="00743409" w:rsidP="00727C7B">
            <w:pPr>
              <w:widowControl w:val="0"/>
              <w:autoSpaceDE w:val="0"/>
              <w:autoSpaceDN w:val="0"/>
              <w:adjustRightInd w:val="0"/>
              <w:spacing w:after="0" w:line="240" w:lineRule="auto"/>
              <w:jc w:val="both"/>
              <w:rPr>
                <w:rFonts w:ascii="Arial" w:hAnsi="Arial" w:cs="Arial"/>
              </w:rPr>
            </w:pPr>
            <w:r w:rsidRPr="006D07CA">
              <w:rPr>
                <w:rFonts w:ascii="Arial" w:hAnsi="Arial" w:cs="Arial"/>
              </w:rPr>
              <w:t>Zásadní připomínky Ministerstva financí požadujeme akceptovat, ostatní připomínky doporučujeme zohlednit. Kontaktní osob</w:t>
            </w:r>
            <w:r w:rsidR="00727C7B" w:rsidRPr="006D07CA">
              <w:rPr>
                <w:rFonts w:ascii="Arial" w:hAnsi="Arial" w:cs="Arial"/>
              </w:rPr>
              <w:t>ou</w:t>
            </w:r>
            <w:r w:rsidRPr="006D07CA">
              <w:rPr>
                <w:rFonts w:ascii="Arial" w:hAnsi="Arial" w:cs="Arial"/>
              </w:rPr>
              <w:t xml:space="preserve"> k vypořádání připomínek MF j</w:t>
            </w:r>
            <w:r w:rsidR="00727C7B" w:rsidRPr="006D07CA">
              <w:rPr>
                <w:rFonts w:ascii="Arial" w:hAnsi="Arial" w:cs="Arial"/>
              </w:rPr>
              <w:t>e</w:t>
            </w:r>
            <w:r w:rsidRPr="006D07CA">
              <w:rPr>
                <w:rFonts w:ascii="Arial" w:hAnsi="Arial" w:cs="Arial"/>
              </w:rPr>
              <w:t xml:space="preserve"> Ing. Žaneta Ptáčková (tel. 257 042 833, e-mail: zaneta.ptackova@mfcr.cz)</w:t>
            </w:r>
            <w:r w:rsidR="00727C7B" w:rsidRPr="006D07CA">
              <w:rPr>
                <w:rFonts w:ascii="Arial" w:hAnsi="Arial" w:cs="Arial"/>
              </w:rPr>
              <w:t>.</w:t>
            </w:r>
          </w:p>
        </w:tc>
        <w:tc>
          <w:tcPr>
            <w:tcW w:w="179" w:type="pct"/>
            <w:tcBorders>
              <w:top w:val="single" w:sz="4" w:space="0" w:color="auto"/>
              <w:left w:val="single" w:sz="4" w:space="0" w:color="F3F3F3"/>
              <w:bottom w:val="single" w:sz="8" w:space="0" w:color="auto"/>
              <w:right w:val="single" w:sz="8" w:space="0" w:color="auto"/>
            </w:tcBorders>
          </w:tcPr>
          <w:p w14:paraId="279CC563" w14:textId="77777777" w:rsidR="0083782A" w:rsidRPr="006D07CA" w:rsidRDefault="0083782A">
            <w:pPr>
              <w:widowControl w:val="0"/>
              <w:autoSpaceDE w:val="0"/>
              <w:autoSpaceDN w:val="0"/>
              <w:adjustRightInd w:val="0"/>
              <w:jc w:val="both"/>
              <w:rPr>
                <w:rFonts w:ascii="Arial" w:hAnsi="Arial" w:cs="Arial"/>
                <w:b/>
              </w:rPr>
            </w:pPr>
          </w:p>
        </w:tc>
      </w:tr>
    </w:tbl>
    <w:p w14:paraId="5F43B878" w14:textId="77777777" w:rsidR="0083782A" w:rsidRPr="006D07CA" w:rsidRDefault="0083782A" w:rsidP="0083782A">
      <w:pPr>
        <w:rPr>
          <w:rFonts w:ascii="Arial" w:hAnsi="Arial" w:cs="Arial"/>
        </w:rPr>
      </w:pPr>
    </w:p>
    <w:p w14:paraId="4408B467" w14:textId="77777777" w:rsidR="0083782A" w:rsidRPr="006D07CA" w:rsidRDefault="0083782A" w:rsidP="0083782A">
      <w:pPr>
        <w:pStyle w:val="Popisky"/>
        <w:spacing w:before="20" w:after="20"/>
        <w:rPr>
          <w:rFonts w:eastAsia="Calibri" w:cs="Arial"/>
          <w:sz w:val="22"/>
          <w:szCs w:val="22"/>
          <w:lang w:eastAsia="en-US"/>
        </w:rPr>
      </w:pPr>
      <w:r w:rsidRPr="006D07CA">
        <w:rPr>
          <w:rFonts w:eastAsia="Calibri" w:cs="Arial"/>
          <w:sz w:val="22"/>
          <w:szCs w:val="22"/>
          <w:lang w:eastAsia="en-US"/>
        </w:rPr>
        <w:t xml:space="preserve">V Praze dne </w:t>
      </w:r>
      <w:r w:rsidR="00727C7B" w:rsidRPr="006D07CA">
        <w:rPr>
          <w:rFonts w:eastAsia="Calibri" w:cs="Arial"/>
          <w:sz w:val="22"/>
          <w:szCs w:val="22"/>
          <w:lang w:eastAsia="en-US"/>
        </w:rPr>
        <w:t>2</w:t>
      </w:r>
      <w:r w:rsidR="006D07CA" w:rsidRPr="006D07CA">
        <w:rPr>
          <w:rFonts w:eastAsia="Calibri" w:cs="Arial"/>
          <w:sz w:val="22"/>
          <w:szCs w:val="22"/>
          <w:lang w:eastAsia="en-US"/>
        </w:rPr>
        <w:t>5</w:t>
      </w:r>
      <w:r w:rsidR="00F52B00" w:rsidRPr="006D07CA">
        <w:rPr>
          <w:rFonts w:eastAsia="Calibri" w:cs="Arial"/>
          <w:sz w:val="22"/>
          <w:szCs w:val="22"/>
          <w:lang w:eastAsia="en-US"/>
        </w:rPr>
        <w:t xml:space="preserve">. </w:t>
      </w:r>
      <w:r w:rsidR="006D07CA" w:rsidRPr="006D07CA">
        <w:rPr>
          <w:rFonts w:eastAsia="Calibri" w:cs="Arial"/>
          <w:sz w:val="22"/>
          <w:szCs w:val="22"/>
          <w:lang w:eastAsia="en-US"/>
        </w:rPr>
        <w:t>března</w:t>
      </w:r>
      <w:r w:rsidR="00727C7B" w:rsidRPr="006D07CA">
        <w:rPr>
          <w:rFonts w:eastAsia="Calibri" w:cs="Arial"/>
          <w:sz w:val="22"/>
          <w:szCs w:val="22"/>
          <w:lang w:eastAsia="en-US"/>
        </w:rPr>
        <w:t xml:space="preserve"> 202</w:t>
      </w:r>
      <w:r w:rsidR="006D07CA" w:rsidRPr="006D07CA">
        <w:rPr>
          <w:rFonts w:eastAsia="Calibri" w:cs="Arial"/>
          <w:sz w:val="22"/>
          <w:szCs w:val="22"/>
          <w:lang w:eastAsia="en-US"/>
        </w:rPr>
        <w:t>4</w:t>
      </w:r>
    </w:p>
    <w:p w14:paraId="1CFDA0F9" w14:textId="77777777" w:rsidR="0083782A" w:rsidRPr="006D07CA" w:rsidRDefault="0083782A" w:rsidP="0083782A">
      <w:pPr>
        <w:tabs>
          <w:tab w:val="left" w:pos="5387"/>
        </w:tabs>
        <w:autoSpaceDE w:val="0"/>
        <w:autoSpaceDN w:val="0"/>
        <w:adjustRightInd w:val="0"/>
        <w:spacing w:line="240" w:lineRule="auto"/>
        <w:rPr>
          <w:rFonts w:ascii="Arial" w:hAnsi="Arial" w:cs="Arial"/>
        </w:rPr>
      </w:pPr>
      <w:r w:rsidRPr="006D07CA">
        <w:rPr>
          <w:rFonts w:ascii="Arial" w:hAnsi="Arial" w:cs="Arial"/>
        </w:rPr>
        <w:t>Vypracoval: Ing. Žaneta Ptáčková</w:t>
      </w:r>
      <w:r w:rsidRPr="006D07CA">
        <w:rPr>
          <w:rFonts w:ascii="Arial" w:hAnsi="Arial" w:cs="Arial"/>
        </w:rPr>
        <w:tab/>
        <w:t>Podpis:</w:t>
      </w:r>
    </w:p>
    <w:p w14:paraId="491523DC" w14:textId="77777777" w:rsidR="0083782A" w:rsidRPr="00056D60" w:rsidRDefault="0083782A" w:rsidP="00D32F1A">
      <w:pPr>
        <w:tabs>
          <w:tab w:val="left" w:pos="5387"/>
        </w:tabs>
        <w:autoSpaceDE w:val="0"/>
        <w:autoSpaceDN w:val="0"/>
        <w:adjustRightInd w:val="0"/>
        <w:spacing w:line="240" w:lineRule="auto"/>
        <w:rPr>
          <w:rFonts w:ascii="Arial" w:hAnsi="Arial" w:cs="Arial"/>
          <w:color w:val="FF0000"/>
          <w:sz w:val="24"/>
          <w:szCs w:val="24"/>
        </w:rPr>
      </w:pPr>
    </w:p>
    <w:sectPr w:rsidR="0083782A" w:rsidRPr="00056D60" w:rsidSect="005D303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C9CE" w14:textId="77777777" w:rsidR="00EF48B0" w:rsidRDefault="00EF48B0" w:rsidP="000E3413">
      <w:pPr>
        <w:spacing w:after="0" w:line="240" w:lineRule="auto"/>
      </w:pPr>
      <w:r>
        <w:separator/>
      </w:r>
    </w:p>
  </w:endnote>
  <w:endnote w:type="continuationSeparator" w:id="0">
    <w:p w14:paraId="668B0721" w14:textId="77777777" w:rsidR="00EF48B0" w:rsidRDefault="00EF48B0" w:rsidP="000E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Verdan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52FB" w14:textId="77777777" w:rsidR="00EF48B0" w:rsidRDefault="00EF48B0" w:rsidP="000E3413">
      <w:pPr>
        <w:spacing w:after="0" w:line="240" w:lineRule="auto"/>
      </w:pPr>
      <w:r>
        <w:separator/>
      </w:r>
    </w:p>
  </w:footnote>
  <w:footnote w:type="continuationSeparator" w:id="0">
    <w:p w14:paraId="48288377" w14:textId="77777777" w:rsidR="00EF48B0" w:rsidRDefault="00EF48B0" w:rsidP="000E3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611"/>
    <w:multiLevelType w:val="hybridMultilevel"/>
    <w:tmpl w:val="0D8C0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40B25"/>
    <w:multiLevelType w:val="hybridMultilevel"/>
    <w:tmpl w:val="722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FC2235"/>
    <w:multiLevelType w:val="hybridMultilevel"/>
    <w:tmpl w:val="24809C12"/>
    <w:lvl w:ilvl="0" w:tplc="04050001">
      <w:start w:val="1"/>
      <w:numFmt w:val="bullet"/>
      <w:lvlText w:val=""/>
      <w:lvlJc w:val="left"/>
      <w:pPr>
        <w:tabs>
          <w:tab w:val="num" w:pos="780"/>
        </w:tabs>
        <w:ind w:left="780" w:hanging="360"/>
      </w:pPr>
      <w:rPr>
        <w:rFonts w:ascii="Symbol" w:hAnsi="Symbol" w:hint="default"/>
        <w:b/>
        <w:color w:val="auto"/>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 w15:restartNumberingAfterBreak="0">
    <w:nsid w:val="26BE0480"/>
    <w:multiLevelType w:val="hybridMultilevel"/>
    <w:tmpl w:val="051E8FFE"/>
    <w:lvl w:ilvl="0" w:tplc="694E6D6A">
      <w:start w:val="1"/>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68AB3370"/>
    <w:multiLevelType w:val="hybridMultilevel"/>
    <w:tmpl w:val="BDEEF6D0"/>
    <w:lvl w:ilvl="0" w:tplc="51A830CE">
      <w:start w:val="1"/>
      <w:numFmt w:val="decimal"/>
      <w:lvlText w:val="%1."/>
      <w:lvlJc w:val="left"/>
      <w:pPr>
        <w:tabs>
          <w:tab w:val="num" w:pos="780"/>
        </w:tabs>
        <w:ind w:left="780" w:hanging="360"/>
      </w:pPr>
      <w:rPr>
        <w:b/>
        <w:color w:val="auto"/>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5" w15:restartNumberingAfterBreak="0">
    <w:nsid w:val="6E993694"/>
    <w:multiLevelType w:val="hybridMultilevel"/>
    <w:tmpl w:val="19BA39BE"/>
    <w:lvl w:ilvl="0" w:tplc="91723C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3743902">
    <w:abstractNumId w:val="4"/>
  </w:num>
  <w:num w:numId="2" w16cid:durableId="744109426">
    <w:abstractNumId w:val="5"/>
  </w:num>
  <w:num w:numId="3" w16cid:durableId="447359210">
    <w:abstractNumId w:val="3"/>
  </w:num>
  <w:num w:numId="4" w16cid:durableId="1759908145">
    <w:abstractNumId w:val="1"/>
  </w:num>
  <w:num w:numId="5" w16cid:durableId="634337569">
    <w:abstractNumId w:val="0"/>
  </w:num>
  <w:num w:numId="6" w16cid:durableId="58941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64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13"/>
    <w:rsid w:val="00026264"/>
    <w:rsid w:val="00032DBD"/>
    <w:rsid w:val="00056D60"/>
    <w:rsid w:val="000743C4"/>
    <w:rsid w:val="000D5DA3"/>
    <w:rsid w:val="000E3413"/>
    <w:rsid w:val="001006C3"/>
    <w:rsid w:val="00125352"/>
    <w:rsid w:val="0013411B"/>
    <w:rsid w:val="001402E3"/>
    <w:rsid w:val="00141D1C"/>
    <w:rsid w:val="0014571E"/>
    <w:rsid w:val="00152642"/>
    <w:rsid w:val="00193B8E"/>
    <w:rsid w:val="00195F8C"/>
    <w:rsid w:val="001A22B3"/>
    <w:rsid w:val="00203279"/>
    <w:rsid w:val="002100FC"/>
    <w:rsid w:val="00211C13"/>
    <w:rsid w:val="00224292"/>
    <w:rsid w:val="0022681E"/>
    <w:rsid w:val="002272E0"/>
    <w:rsid w:val="0024701C"/>
    <w:rsid w:val="00263952"/>
    <w:rsid w:val="002A30E1"/>
    <w:rsid w:val="002B57DE"/>
    <w:rsid w:val="002C7354"/>
    <w:rsid w:val="002E2A97"/>
    <w:rsid w:val="00302FEE"/>
    <w:rsid w:val="00304839"/>
    <w:rsid w:val="003C05AB"/>
    <w:rsid w:val="003C7397"/>
    <w:rsid w:val="00411591"/>
    <w:rsid w:val="004411EB"/>
    <w:rsid w:val="004451EA"/>
    <w:rsid w:val="0047594A"/>
    <w:rsid w:val="00487F63"/>
    <w:rsid w:val="004A407E"/>
    <w:rsid w:val="004C73AD"/>
    <w:rsid w:val="004E5068"/>
    <w:rsid w:val="00527867"/>
    <w:rsid w:val="00527AE7"/>
    <w:rsid w:val="00542C83"/>
    <w:rsid w:val="005437C2"/>
    <w:rsid w:val="00577E13"/>
    <w:rsid w:val="005D3039"/>
    <w:rsid w:val="0060298D"/>
    <w:rsid w:val="00615F01"/>
    <w:rsid w:val="00621717"/>
    <w:rsid w:val="006226BE"/>
    <w:rsid w:val="006616D6"/>
    <w:rsid w:val="0066451C"/>
    <w:rsid w:val="006B2578"/>
    <w:rsid w:val="006D07CA"/>
    <w:rsid w:val="007201BD"/>
    <w:rsid w:val="007273F6"/>
    <w:rsid w:val="00727BF9"/>
    <w:rsid w:val="00727C7B"/>
    <w:rsid w:val="00733228"/>
    <w:rsid w:val="00743409"/>
    <w:rsid w:val="007748CA"/>
    <w:rsid w:val="007A17B3"/>
    <w:rsid w:val="007A69D9"/>
    <w:rsid w:val="00831D9F"/>
    <w:rsid w:val="00833B98"/>
    <w:rsid w:val="0083782A"/>
    <w:rsid w:val="00845933"/>
    <w:rsid w:val="00850F77"/>
    <w:rsid w:val="00881679"/>
    <w:rsid w:val="008A1DC0"/>
    <w:rsid w:val="008B2517"/>
    <w:rsid w:val="008F0FC3"/>
    <w:rsid w:val="0090453A"/>
    <w:rsid w:val="00933CD9"/>
    <w:rsid w:val="009435B4"/>
    <w:rsid w:val="009A020B"/>
    <w:rsid w:val="009D51AE"/>
    <w:rsid w:val="009F1488"/>
    <w:rsid w:val="00A10682"/>
    <w:rsid w:val="00A10E35"/>
    <w:rsid w:val="00A2241F"/>
    <w:rsid w:val="00A2667C"/>
    <w:rsid w:val="00A44E45"/>
    <w:rsid w:val="00A55A5C"/>
    <w:rsid w:val="00A63676"/>
    <w:rsid w:val="00A63B0A"/>
    <w:rsid w:val="00A66CC9"/>
    <w:rsid w:val="00A76C64"/>
    <w:rsid w:val="00AA7245"/>
    <w:rsid w:val="00AD2006"/>
    <w:rsid w:val="00B17D38"/>
    <w:rsid w:val="00B215C3"/>
    <w:rsid w:val="00B31412"/>
    <w:rsid w:val="00B31DED"/>
    <w:rsid w:val="00B377BB"/>
    <w:rsid w:val="00B43AB2"/>
    <w:rsid w:val="00B47771"/>
    <w:rsid w:val="00B715B0"/>
    <w:rsid w:val="00B74F99"/>
    <w:rsid w:val="00B80815"/>
    <w:rsid w:val="00B84CEA"/>
    <w:rsid w:val="00B87934"/>
    <w:rsid w:val="00BA06E5"/>
    <w:rsid w:val="00BF1BAB"/>
    <w:rsid w:val="00C0639E"/>
    <w:rsid w:val="00C358EF"/>
    <w:rsid w:val="00C408F7"/>
    <w:rsid w:val="00C53480"/>
    <w:rsid w:val="00C55781"/>
    <w:rsid w:val="00C61A0F"/>
    <w:rsid w:val="00C77A04"/>
    <w:rsid w:val="00CB0CEA"/>
    <w:rsid w:val="00CB39C1"/>
    <w:rsid w:val="00CC65A5"/>
    <w:rsid w:val="00CF039E"/>
    <w:rsid w:val="00CF1437"/>
    <w:rsid w:val="00D04B61"/>
    <w:rsid w:val="00D15FFA"/>
    <w:rsid w:val="00D174C0"/>
    <w:rsid w:val="00D32F1A"/>
    <w:rsid w:val="00D506D9"/>
    <w:rsid w:val="00D62FFB"/>
    <w:rsid w:val="00D6646F"/>
    <w:rsid w:val="00D807A7"/>
    <w:rsid w:val="00DA2FA7"/>
    <w:rsid w:val="00DD31D6"/>
    <w:rsid w:val="00DD440E"/>
    <w:rsid w:val="00DE2166"/>
    <w:rsid w:val="00DF1FB2"/>
    <w:rsid w:val="00DF2818"/>
    <w:rsid w:val="00E07DBB"/>
    <w:rsid w:val="00E17E81"/>
    <w:rsid w:val="00E229A2"/>
    <w:rsid w:val="00E23438"/>
    <w:rsid w:val="00E3339B"/>
    <w:rsid w:val="00E616A7"/>
    <w:rsid w:val="00E66C10"/>
    <w:rsid w:val="00E84559"/>
    <w:rsid w:val="00E95574"/>
    <w:rsid w:val="00EA1758"/>
    <w:rsid w:val="00ED2F4F"/>
    <w:rsid w:val="00EE0090"/>
    <w:rsid w:val="00EF2B5B"/>
    <w:rsid w:val="00EF362D"/>
    <w:rsid w:val="00EF48B0"/>
    <w:rsid w:val="00F52B00"/>
    <w:rsid w:val="00F81D85"/>
    <w:rsid w:val="00FC1609"/>
    <w:rsid w:val="00FD3E18"/>
    <w:rsid w:val="00FE5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54094"/>
  <w15:docId w15:val="{A10710E1-FED4-46F5-BD3D-18A2A548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2B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0E34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isky">
    <w:name w:val="Popisky"/>
    <w:rsid w:val="00D32F1A"/>
    <w:rPr>
      <w:rFonts w:ascii="Arial" w:eastAsia="Times New Roman" w:hAnsi="Arial"/>
      <w:sz w:val="20"/>
      <w:szCs w:val="20"/>
    </w:rPr>
  </w:style>
  <w:style w:type="character" w:styleId="Hypertextovodkaz">
    <w:name w:val="Hyperlink"/>
    <w:uiPriority w:val="99"/>
    <w:unhideWhenUsed/>
    <w:rsid w:val="00D32F1A"/>
    <w:rPr>
      <w:color w:val="0000FF"/>
      <w:u w:val="single"/>
    </w:rPr>
  </w:style>
  <w:style w:type="character" w:styleId="Znakapoznpodarou">
    <w:name w:val="footnote reference"/>
    <w:uiPriority w:val="99"/>
    <w:rsid w:val="00D32F1A"/>
    <w:rPr>
      <w:rFonts w:cs="Times New Roman"/>
      <w:vertAlign w:val="superscript"/>
    </w:rPr>
  </w:style>
  <w:style w:type="paragraph" w:styleId="Odstavecseseznamem">
    <w:name w:val="List Paragraph"/>
    <w:basedOn w:val="Normln"/>
    <w:uiPriority w:val="34"/>
    <w:qFormat/>
    <w:rsid w:val="00D32F1A"/>
    <w:pPr>
      <w:overflowPunct w:val="0"/>
      <w:autoSpaceDE w:val="0"/>
      <w:autoSpaceDN w:val="0"/>
      <w:adjustRightInd w:val="0"/>
      <w:spacing w:after="160" w:line="340" w:lineRule="exact"/>
      <w:ind w:left="720"/>
      <w:contextualSpacing/>
      <w:textAlignment w:val="baseline"/>
    </w:pPr>
    <w:rPr>
      <w:rFonts w:eastAsia="Times New Roman"/>
      <w:szCs w:val="20"/>
      <w:lang w:eastAsia="cs-CZ"/>
    </w:rPr>
  </w:style>
  <w:style w:type="character" w:styleId="Zdraznn">
    <w:name w:val="Emphasis"/>
    <w:basedOn w:val="Standardnpsmoodstavce"/>
    <w:uiPriority w:val="20"/>
    <w:qFormat/>
    <w:locked/>
    <w:rsid w:val="009D51AE"/>
    <w:rPr>
      <w:b/>
      <w:bCs/>
      <w:i w:val="0"/>
      <w:iCs w:val="0"/>
    </w:rPr>
  </w:style>
  <w:style w:type="character" w:customStyle="1" w:styleId="st1">
    <w:name w:val="st1"/>
    <w:basedOn w:val="Standardnpsmoodstavce"/>
    <w:rsid w:val="009D51AE"/>
  </w:style>
  <w:style w:type="paragraph" w:styleId="Textbubliny">
    <w:name w:val="Balloon Text"/>
    <w:basedOn w:val="Normln"/>
    <w:link w:val="TextbublinyChar"/>
    <w:uiPriority w:val="99"/>
    <w:semiHidden/>
    <w:unhideWhenUsed/>
    <w:rsid w:val="007332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32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financí</dc:creator>
  <cp:lastModifiedBy>Jakub Majer</cp:lastModifiedBy>
  <cp:revision>2</cp:revision>
  <cp:lastPrinted>2022-04-27T10:32:00Z</cp:lastPrinted>
  <dcterms:created xsi:type="dcterms:W3CDTF">2024-04-18T09:31:00Z</dcterms:created>
  <dcterms:modified xsi:type="dcterms:W3CDTF">2024-04-18T09:31:00Z</dcterms:modified>
</cp:coreProperties>
</file>